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30"/>
          <w:szCs w:val="24"/>
        </w:rPr>
      </w:pPr>
      <w:r>
        <w:rPr>
          <w:rFonts w:hint="eastAsia" w:ascii="黑体" w:hAnsi="黑体" w:eastAsia="黑体"/>
          <w:color w:val="000000"/>
          <w:sz w:val="30"/>
          <w:szCs w:val="24"/>
        </w:rPr>
        <w:t>2022年度重庆市科技进步奖提名项目公示材料</w:t>
      </w:r>
    </w:p>
    <w:p>
      <w:pPr>
        <w:spacing w:line="360" w:lineRule="auto"/>
        <w:jc w:val="left"/>
        <w:rPr>
          <w:rFonts w:ascii="宋体" w:hAnsi="宋体"/>
          <w:color w:val="000000"/>
          <w:sz w:val="23"/>
          <w:szCs w:val="24"/>
        </w:rPr>
      </w:pPr>
      <w:r>
        <w:rPr>
          <w:rFonts w:hint="eastAsia" w:ascii="宋体" w:hAnsi="宋体"/>
          <w:b/>
          <w:bCs/>
          <w:color w:val="000000"/>
          <w:sz w:val="23"/>
          <w:szCs w:val="24"/>
        </w:rPr>
        <w:t>一、项目名称</w:t>
      </w:r>
      <w:r>
        <w:rPr>
          <w:rFonts w:hint="eastAsia" w:ascii="宋体" w:hAnsi="宋体"/>
          <w:color w:val="000000"/>
          <w:sz w:val="23"/>
          <w:szCs w:val="24"/>
        </w:rPr>
        <w:t>：装配式钢结构新技术研发与工程应用</w:t>
      </w:r>
    </w:p>
    <w:p>
      <w:pPr>
        <w:spacing w:line="360" w:lineRule="auto"/>
        <w:jc w:val="left"/>
        <w:rPr>
          <w:rFonts w:ascii="宋体" w:hAnsi="宋体"/>
          <w:color w:val="000000"/>
          <w:sz w:val="23"/>
          <w:szCs w:val="24"/>
        </w:rPr>
      </w:pPr>
      <w:r>
        <w:rPr>
          <w:rFonts w:hint="eastAsia" w:ascii="宋体" w:hAnsi="宋体"/>
          <w:b/>
          <w:bCs/>
          <w:color w:val="000000"/>
          <w:sz w:val="23"/>
          <w:szCs w:val="24"/>
        </w:rPr>
        <w:t>二、提名单位</w:t>
      </w:r>
      <w:r>
        <w:rPr>
          <w:rFonts w:hint="eastAsia" w:ascii="宋体" w:hAnsi="宋体"/>
          <w:color w:val="000000"/>
          <w:sz w:val="23"/>
          <w:szCs w:val="24"/>
        </w:rPr>
        <w:t>：重庆市教育委员会</w:t>
      </w:r>
    </w:p>
    <w:p>
      <w:pPr>
        <w:spacing w:line="360" w:lineRule="auto"/>
        <w:jc w:val="left"/>
        <w:rPr>
          <w:rFonts w:ascii="宋体" w:hAnsi="宋体"/>
          <w:color w:val="000000"/>
          <w:sz w:val="23"/>
          <w:szCs w:val="24"/>
        </w:rPr>
      </w:pPr>
      <w:r>
        <w:rPr>
          <w:rFonts w:hint="eastAsia" w:ascii="宋体" w:hAnsi="宋体"/>
          <w:b/>
          <w:bCs/>
          <w:color w:val="000000"/>
          <w:sz w:val="23"/>
          <w:szCs w:val="24"/>
        </w:rPr>
        <w:t>三、提名等级</w:t>
      </w:r>
      <w:r>
        <w:rPr>
          <w:rFonts w:hint="eastAsia" w:ascii="宋体" w:hAnsi="宋体"/>
          <w:color w:val="000000"/>
          <w:sz w:val="23"/>
          <w:szCs w:val="24"/>
        </w:rPr>
        <w:t>：重庆市科学技术进步奖一等奖</w:t>
      </w:r>
    </w:p>
    <w:p>
      <w:pPr>
        <w:pStyle w:val="3"/>
        <w:spacing w:before="100" w:after="100"/>
        <w:rPr>
          <w:rFonts w:hint="default"/>
          <w:b w:val="0"/>
          <w:bCs w:val="0"/>
          <w:color w:val="000000"/>
          <w:sz w:val="23"/>
          <w:szCs w:val="24"/>
        </w:rPr>
      </w:pPr>
      <w:r>
        <w:rPr>
          <w:color w:val="000000"/>
          <w:sz w:val="23"/>
          <w:szCs w:val="24"/>
        </w:rPr>
        <w:t>四、主要完成单位</w:t>
      </w:r>
      <w:r>
        <w:rPr>
          <w:b w:val="0"/>
          <w:bCs w:val="0"/>
          <w:color w:val="000000"/>
          <w:sz w:val="23"/>
          <w:szCs w:val="24"/>
        </w:rPr>
        <w:t>：重庆交通大学、</w:t>
      </w:r>
      <w:r>
        <w:rPr>
          <w:rFonts w:cstheme="minorBidi"/>
          <w:b w:val="0"/>
          <w:bCs w:val="0"/>
          <w:color w:val="000000"/>
          <w:kern w:val="2"/>
          <w:sz w:val="23"/>
          <w:szCs w:val="24"/>
        </w:rPr>
        <w:t>同济大学、重庆钢结构产业有限公司、中冶建筑研究总院有限公司、中建</w:t>
      </w:r>
      <w:r>
        <w:rPr>
          <w:b w:val="0"/>
          <w:bCs w:val="0"/>
          <w:color w:val="000000"/>
          <w:sz w:val="23"/>
          <w:szCs w:val="24"/>
        </w:rPr>
        <w:t>铁路投资建设集团有限公司</w:t>
      </w:r>
    </w:p>
    <w:p>
      <w:pPr>
        <w:pStyle w:val="2"/>
        <w:spacing w:before="100" w:after="100"/>
        <w:rPr>
          <w:rFonts w:hint="default" w:cstheme="minorBidi"/>
          <w:b w:val="0"/>
          <w:bCs w:val="0"/>
          <w:color w:val="000000"/>
          <w:kern w:val="2"/>
          <w:sz w:val="23"/>
          <w:szCs w:val="24"/>
        </w:rPr>
      </w:pPr>
      <w:r>
        <w:rPr>
          <w:color w:val="000000"/>
          <w:sz w:val="23"/>
          <w:szCs w:val="24"/>
        </w:rPr>
        <w:t>五、主要完成人</w:t>
      </w:r>
      <w:r>
        <w:rPr>
          <w:b w:val="0"/>
          <w:bCs w:val="0"/>
          <w:color w:val="000000"/>
          <w:sz w:val="23"/>
          <w:szCs w:val="24"/>
        </w:rPr>
        <w:t>：</w:t>
      </w:r>
      <w:r>
        <w:rPr>
          <w:rFonts w:hint="eastAsia" w:cstheme="minorBidi"/>
          <w:b w:val="0"/>
          <w:bCs w:val="0"/>
          <w:color w:val="000000"/>
          <w:kern w:val="2"/>
          <w:sz w:val="23"/>
          <w:szCs w:val="24"/>
        </w:rPr>
        <w:t>肖勇、孙飞飞、孙勇敢、龚超、谢津成、范亮、邢振华、杨海生、胡彧婧、严晓楠、刘浩、陈乐、金华健、刘山洪、许舟州</w:t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/>
          <w:color w:val="000000"/>
          <w:sz w:val="23"/>
          <w:szCs w:val="24"/>
        </w:rPr>
      </w:pPr>
      <w:r>
        <w:rPr>
          <w:rFonts w:hint="eastAsia" w:ascii="宋体" w:hAnsi="宋体"/>
          <w:b/>
          <w:bCs/>
          <w:color w:val="000000"/>
          <w:sz w:val="23"/>
          <w:szCs w:val="24"/>
        </w:rPr>
        <w:t>六、项目简介：</w:t>
      </w:r>
      <w:r>
        <w:rPr>
          <w:rFonts w:hint="eastAsia" w:ascii="宋体" w:hAnsi="宋体"/>
          <w:color w:val="000000"/>
          <w:sz w:val="23"/>
          <w:szCs w:val="24"/>
        </w:rPr>
        <w:t xml:space="preserve"> </w:t>
      </w:r>
    </w:p>
    <w:p>
      <w:pPr>
        <w:spacing w:line="360" w:lineRule="auto"/>
        <w:ind w:firstLine="420"/>
        <w:jc w:val="left"/>
        <w:rPr>
          <w:rFonts w:ascii="宋体" w:hAnsi="宋体"/>
          <w:color w:val="000000"/>
          <w:sz w:val="23"/>
          <w:szCs w:val="24"/>
          <w:lang w:bidi="ar"/>
        </w:rPr>
      </w:pPr>
      <w:r>
        <w:rPr>
          <w:rFonts w:hint="eastAsia" w:ascii="宋体" w:hAnsi="宋体"/>
          <w:color w:val="000000"/>
          <w:sz w:val="23"/>
          <w:szCs w:val="24"/>
          <w:lang w:bidi="ar"/>
        </w:rPr>
        <w:t>长期以来我国建筑业、桥梁等行业都是高消耗，高劳动力，用资源换效益的建造方式，</w:t>
      </w:r>
      <w:r>
        <w:fldChar w:fldCharType="begin"/>
      </w:r>
      <w:r>
        <w:instrText xml:space="preserve"> HYPERLINK "https://www.sogou.com/link?url=hedJjaC291Pl05MTlF1Zk2XH0kc1pIdi02aVcojQgLdzyqfWeLsS0mGId8YRln66eNMMmaMZx7KDmTSx1uNXXC4X-sFrveSykCoe5mluWXLwFRPUbIpYh0mXFltg2g-NreaVHN88tHY." \t "https://www.sogou.com/_blank" </w:instrText>
      </w:r>
      <w:r>
        <w:fldChar w:fldCharType="separate"/>
      </w:r>
      <w:r>
        <w:rPr>
          <w:rFonts w:hint="eastAsia" w:ascii="宋体" w:hAnsi="宋体"/>
          <w:color w:val="000000"/>
          <w:sz w:val="23"/>
          <w:szCs w:val="24"/>
          <w:lang w:bidi="ar"/>
        </w:rPr>
        <w:t>双碳背景下</w:t>
      </w:r>
      <w:r>
        <w:rPr>
          <w:rFonts w:hint="eastAsia" w:ascii="宋体" w:hAnsi="宋体"/>
          <w:color w:val="000000"/>
          <w:sz w:val="23"/>
          <w:szCs w:val="24"/>
          <w:lang w:bidi="ar"/>
        </w:rPr>
        <w:fldChar w:fldCharType="end"/>
      </w:r>
      <w:r>
        <w:rPr>
          <w:rFonts w:hint="eastAsia" w:ascii="宋体" w:hAnsi="宋体"/>
          <w:color w:val="000000"/>
          <w:sz w:val="23"/>
          <w:szCs w:val="24"/>
          <w:lang w:bidi="ar"/>
        </w:rPr>
        <w:t>这种建造方式显然已经越求越难以为继，目前装配式钢结构被广泛认为具有广阔的应用前景，但其在国内土木工程领域的应用还处于起步阶段，但高性能装配式钢结构的大力发展尚存诸多技术难题，本项目依托国家和省部级重大科技项目和重大工程项目等，通过长期的产学研协同攻关，在以下方面取得了创新性成果：</w:t>
      </w:r>
    </w:p>
    <w:p>
      <w:pPr>
        <w:spacing w:line="360" w:lineRule="auto"/>
        <w:ind w:firstLine="420"/>
        <w:jc w:val="left"/>
        <w:rPr>
          <w:rFonts w:ascii="宋体" w:hAnsi="宋体"/>
          <w:color w:val="000000"/>
          <w:sz w:val="23"/>
          <w:szCs w:val="24"/>
          <w:lang w:bidi="ar"/>
        </w:rPr>
      </w:pPr>
      <w:r>
        <w:rPr>
          <w:rFonts w:hint="eastAsia" w:ascii="宋体" w:hAnsi="宋体"/>
          <w:color w:val="000000"/>
          <w:sz w:val="23"/>
          <w:szCs w:val="24"/>
          <w:lang w:bidi="ar"/>
        </w:rPr>
        <w:t>（1）建立并研制了高性能装配式钢结构设计新理论与技术；（2）研发了装配式钢结构高效建造和安装技术；（3）创建了装配式钢-混凝土组合结构建造技术体系；（4）形成了装配式钢结构产业化技术体系和成套关键技术。</w:t>
      </w:r>
    </w:p>
    <w:p>
      <w:pPr>
        <w:spacing w:line="360" w:lineRule="auto"/>
        <w:ind w:firstLine="420"/>
        <w:jc w:val="left"/>
        <w:rPr>
          <w:rFonts w:ascii="宋体" w:hAnsi="宋体"/>
          <w:color w:val="000000"/>
          <w:sz w:val="23"/>
          <w:szCs w:val="24"/>
          <w:lang w:bidi="ar"/>
        </w:rPr>
      </w:pPr>
      <w:r>
        <w:rPr>
          <w:rFonts w:hint="eastAsia" w:ascii="宋体" w:hAnsi="宋体"/>
          <w:color w:val="000000"/>
          <w:sz w:val="23"/>
          <w:szCs w:val="24"/>
          <w:lang w:bidi="ar"/>
        </w:rPr>
        <w:t>项目研究成果创新成果成功应用于钢结构工业和民用建筑、桥梁等项目，产生了巨大的经济效益和社会效益，实现了高性能装配式钢结构体系的重大技术创新和突破，该成果总体达到国际先进水平，部分核心技术已达到了国际领先水平。</w:t>
      </w: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pStyle w:val="9"/>
        <w:rPr>
          <w:rFonts w:ascii="Times New Roman" w:hAnsi="Times New Roman"/>
          <w:sz w:val="24"/>
        </w:rPr>
      </w:pPr>
    </w:p>
    <w:p>
      <w:pPr>
        <w:numPr>
          <w:ilvl w:val="255"/>
          <w:numId w:val="0"/>
        </w:numPr>
        <w:spacing w:line="540" w:lineRule="exact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七、主要知识产权和标准规范等目录（节选）：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ind w:firstLine="420" w:firstLineChars="200"/>
        <w:rPr>
          <w:rFonts w:eastAsia="黑体" w:cs="Times New Roman (标题 CS)"/>
        </w:rPr>
      </w:pPr>
      <w:r>
        <w:rPr>
          <w:rFonts w:hint="eastAsia" w:eastAsia="黑体" w:cs="Times New Roman (标题 CS)"/>
        </w:rPr>
        <w:t>（1）标准、工法、技术指南等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5054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tabs>
                <w:tab w:val="left" w:pos="3253"/>
              </w:tabs>
              <w:jc w:val="left"/>
              <w:rPr>
                <w:sz w:val="18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/>
                <w:sz w:val="18"/>
              </w:rPr>
              <w:t>序号</w:t>
            </w:r>
          </w:p>
        </w:tc>
        <w:tc>
          <w:tcPr>
            <w:tcW w:w="280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标准名称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标准</w:t>
            </w:r>
            <w:r>
              <w:rPr>
                <w:sz w:val="1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80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装配式钢结构技术标准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重庆市工程建设标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80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《高性能钢结构应用技术规程》（T/CECS 599-2019）,2019年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中国工程建设标准化协会标准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80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《承载-消能减震技术规程》（T/CECS 900-2021），2021年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中国工程建设标准化协会标准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80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《端板式半刚性连接钢结构技术规程》(CECS260-2009)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中国工程建设标准化协会标准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338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80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《轻型模块化钢结构组合房屋技术标准》JGJT 466-2019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行业标准</w:t>
            </w:r>
          </w:p>
        </w:tc>
      </w:tr>
    </w:tbl>
    <w:p>
      <w:pPr>
        <w:ind w:firstLine="420" w:firstLineChars="200"/>
        <w:jc w:val="left"/>
        <w:rPr>
          <w:rFonts w:eastAsia="黑体" w:cs="Times New Roman (标题 CS)"/>
        </w:rPr>
      </w:pPr>
    </w:p>
    <w:p>
      <w:pPr>
        <w:ind w:firstLine="420" w:firstLineChars="200"/>
        <w:jc w:val="left"/>
        <w:rPr>
          <w:rFonts w:eastAsia="黑体" w:cs="Times New Roman (标题 CS)"/>
        </w:rPr>
      </w:pPr>
      <w:r>
        <w:rPr>
          <w:rFonts w:hint="eastAsia" w:eastAsia="黑体" w:cs="Times New Roman (标题 CS)"/>
        </w:rPr>
        <w:t>（2）专利</w:t>
      </w:r>
    </w:p>
    <w:tbl>
      <w:tblPr>
        <w:tblStyle w:val="5"/>
        <w:tblW w:w="51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955"/>
        <w:gridCol w:w="1004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序号</w:t>
            </w:r>
          </w:p>
        </w:tc>
        <w:tc>
          <w:tcPr>
            <w:tcW w:w="323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专利名称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专利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申请</w:t>
            </w:r>
            <w:r>
              <w:rPr>
                <w:sz w:val="18"/>
              </w:rPr>
              <w:t>号/</w:t>
            </w:r>
            <w:r>
              <w:rPr>
                <w:rFonts w:hint="eastAsia"/>
                <w:sz w:val="18"/>
              </w:rPr>
              <w:t>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23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Horizontal angle measuring tool in the field of steel structure engineering 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发明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202202955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3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Roundness measuring tool for bridge steel structure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发明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202203134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3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Anti-loosening device of steel structure fastening bolt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发明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202202949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23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带金属圆棒消能阻尼器的钢结构梁柱连接节点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发明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202010718871.2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50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323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一种可调节的波纹钢板—铅复合双功能构件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发明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>
            <w:pPr>
              <w:pStyle w:val="13"/>
              <w:rPr>
                <w:sz w:val="18"/>
              </w:rPr>
            </w:pPr>
            <w:r>
              <w:rPr>
                <w:rFonts w:hint="eastAsia"/>
                <w:sz w:val="18"/>
              </w:rPr>
              <w:t>202010784980.4</w:t>
            </w:r>
          </w:p>
        </w:tc>
      </w:tr>
    </w:tbl>
    <w:p>
      <w:pPr>
        <w:ind w:firstLine="420" w:firstLineChars="200"/>
        <w:jc w:val="left"/>
        <w:rPr>
          <w:rFonts w:eastAsia="黑体" w:cs="Times New Roman (标题 CS)"/>
        </w:rPr>
      </w:pPr>
      <w:r>
        <w:rPr>
          <w:rFonts w:hint="eastAsia" w:eastAsia="黑体" w:cs="Times New Roman (标题 CS)"/>
        </w:rPr>
        <w:t>（3）学术论文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2" w:hRule="atLeast"/>
          <w:tblHeader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论文信息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tblHeader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</w:rPr>
            </w:pPr>
            <w:r>
              <w:rPr>
                <w:color w:val="auto"/>
                <w:kern w:val="0"/>
              </w:rPr>
              <w:t>1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</w:rPr>
            </w:pPr>
            <w:r>
              <w:rPr>
                <w:color w:val="auto"/>
              </w:rPr>
              <w:t>Xiao Yong,Xue Xuan Yi,Sun Fei Fei,Li Guo Qiang. Intermediate transverse stiffener requirements of high-strength steel plate girders considering postbuckling capacity. ENGINEERING STRUCTURES, 2019, 196.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</w:rPr>
            </w:pPr>
            <w:r>
              <w:rPr>
                <w:color w:val="auto"/>
                <w:kern w:val="0"/>
              </w:rPr>
              <w:t>2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</w:rPr>
            </w:pPr>
            <w:r>
              <w:rPr>
                <w:color w:val="auto"/>
                <w:kern w:val="0"/>
              </w:rPr>
              <w:t>Xiao Yong,Xue Xuan Yi,Sun Fei Fei,Li Guo Qiang. Postbuckling shear capacity of high-strength steel plate girders. JOURNAL OF CONSTRUCTIONAL STEEL RESEARCH, 2018, 150: 475-490.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3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</w:rPr>
            </w:pPr>
            <w:r>
              <w:rPr>
                <w:color w:val="auto"/>
                <w:kern w:val="0"/>
              </w:rPr>
              <w:t>Sun Fei Fei,Xue Xuan Yi,Xiao Yong,Le Yu Min,Li Guo Qiang. Effect of welding and complex loads on the high-strength steel T-stub connection. JOURNAL OF CONSTRUCTIONAL STEEL RESEARCH, 2018, 150: 76-86.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4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</w:rPr>
            </w:pPr>
            <w:r>
              <w:rPr>
                <w:color w:val="auto"/>
                <w:kern w:val="0"/>
              </w:rPr>
              <w:t>Sun Fei Fei,Xue Xuan Yi,Jin Hua Jian,Sun Mi,Tang Zhi Ming,Xiao Yong,Li Guo Qiang. Hysteretic behavior and simplified simulation method of high-strength steel end-plate connections under cyclic loading. JOURNAL OF CONSTRUCTIONAL STEEL RESEARCH, 2019, 158: 429-442.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5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</w:rPr>
            </w:pPr>
            <w:r>
              <w:rPr>
                <w:color w:val="auto"/>
                <w:kern w:val="0"/>
              </w:rPr>
              <w:t>Ran Ming-Ming,Sun Fei-Fei,Li Guo-Qiang,Kanvinde Amit,Wang Yan-Bo,Xiao Robert Y.. Experimental study on the behavior of mismatched butt welded joints of high strength steel. JOURNAL OF CONSTRUCTIONAL STEEL RESEARCH, 2019, 153: 196-208.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6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</w:rPr>
            </w:pPr>
            <w:r>
              <w:rPr>
                <w:color w:val="auto"/>
                <w:kern w:val="0"/>
              </w:rPr>
              <w:t>Sun Fei-Fei,Ran Ming-Ming,Li Guo-Qiang,Kanvinde Amit,Wang Yan-Bo,Xiao Robert Y.. Strength model for mismatched butt welded joints of high strength steel. JOURNAL OF CONSTRUCTIONAL STEEL RESEARCH, 2018, 150: 514-527.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7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</w:rPr>
            </w:pPr>
            <w:r>
              <w:rPr>
                <w:color w:val="auto"/>
                <w:kern w:val="0"/>
              </w:rPr>
              <w:t>Yang Haisheng,Su Mingzhou,Xiao Yong,Gan Dan. Cyclic Behavior of Gabled Frames with Web-Tapered Columns and Rafters. MATERIALS, 2023, 16(1).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240" w:lineRule="exac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8</w:t>
            </w:r>
          </w:p>
        </w:tc>
        <w:tc>
          <w:tcPr>
            <w:tcW w:w="7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肖勇, 冯宇迪, 李国强,等. H型钢梁与钢管柱平齐端板单向螺栓节点设计[J]. 钢结构, 2018, 33(12):6.</w:t>
            </w:r>
          </w:p>
        </w:tc>
      </w:tr>
    </w:tbl>
    <w:p>
      <w:pPr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</w:p>
    <w:sectPr>
      <w:pgSz w:w="11906" w:h="17338"/>
      <w:pgMar w:top="2017" w:right="1521" w:bottom="1440" w:left="15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(标题 CS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2RhOGM3YTQ5YjNjNzNlYzg2MGJmYWU0ZDBiYzMifQ=="/>
  </w:docVars>
  <w:rsids>
    <w:rsidRoot w:val="00172A27"/>
    <w:rsid w:val="00097DAF"/>
    <w:rsid w:val="000C3DA7"/>
    <w:rsid w:val="00124335"/>
    <w:rsid w:val="00172A27"/>
    <w:rsid w:val="002E758F"/>
    <w:rsid w:val="00341F13"/>
    <w:rsid w:val="004E177D"/>
    <w:rsid w:val="0051630C"/>
    <w:rsid w:val="00566BEB"/>
    <w:rsid w:val="00596B61"/>
    <w:rsid w:val="008102F1"/>
    <w:rsid w:val="008A1BDF"/>
    <w:rsid w:val="008C1B59"/>
    <w:rsid w:val="0093121F"/>
    <w:rsid w:val="009A3DCD"/>
    <w:rsid w:val="00A81C88"/>
    <w:rsid w:val="00AF685A"/>
    <w:rsid w:val="00C51B27"/>
    <w:rsid w:val="00CD49B1"/>
    <w:rsid w:val="00DF7DD8"/>
    <w:rsid w:val="00E87BF4"/>
    <w:rsid w:val="00F03FD2"/>
    <w:rsid w:val="00F36CC6"/>
    <w:rsid w:val="01341807"/>
    <w:rsid w:val="0194674A"/>
    <w:rsid w:val="022510C3"/>
    <w:rsid w:val="025974C0"/>
    <w:rsid w:val="02890A9A"/>
    <w:rsid w:val="02DF57A3"/>
    <w:rsid w:val="031C2B93"/>
    <w:rsid w:val="03220040"/>
    <w:rsid w:val="033938CF"/>
    <w:rsid w:val="035D17BD"/>
    <w:rsid w:val="03792CCD"/>
    <w:rsid w:val="048D643D"/>
    <w:rsid w:val="04CD3744"/>
    <w:rsid w:val="04EE750E"/>
    <w:rsid w:val="050740D1"/>
    <w:rsid w:val="05145BD8"/>
    <w:rsid w:val="054421C2"/>
    <w:rsid w:val="058C1C12"/>
    <w:rsid w:val="05F068C8"/>
    <w:rsid w:val="06A43492"/>
    <w:rsid w:val="06C4362D"/>
    <w:rsid w:val="06C54CB0"/>
    <w:rsid w:val="07682493"/>
    <w:rsid w:val="08057A5A"/>
    <w:rsid w:val="08251EAA"/>
    <w:rsid w:val="084A1910"/>
    <w:rsid w:val="087370B9"/>
    <w:rsid w:val="08C32311"/>
    <w:rsid w:val="08C53CFB"/>
    <w:rsid w:val="08FC6707"/>
    <w:rsid w:val="09EF276F"/>
    <w:rsid w:val="0A1B7A08"/>
    <w:rsid w:val="0A6F565E"/>
    <w:rsid w:val="0AB6328D"/>
    <w:rsid w:val="0BEA58C3"/>
    <w:rsid w:val="0C030754"/>
    <w:rsid w:val="0C1A4568"/>
    <w:rsid w:val="0C321039"/>
    <w:rsid w:val="0C3C5C85"/>
    <w:rsid w:val="0CB47CA0"/>
    <w:rsid w:val="0D074274"/>
    <w:rsid w:val="0D674D12"/>
    <w:rsid w:val="0D9D5CCB"/>
    <w:rsid w:val="0DFF319D"/>
    <w:rsid w:val="0E082052"/>
    <w:rsid w:val="0E6A2375"/>
    <w:rsid w:val="10454CFE"/>
    <w:rsid w:val="106547BE"/>
    <w:rsid w:val="10F1501F"/>
    <w:rsid w:val="10F90377"/>
    <w:rsid w:val="1109680C"/>
    <w:rsid w:val="110E5BD1"/>
    <w:rsid w:val="11366ED6"/>
    <w:rsid w:val="116C28F7"/>
    <w:rsid w:val="117143B2"/>
    <w:rsid w:val="1193257A"/>
    <w:rsid w:val="12805599"/>
    <w:rsid w:val="12B46304"/>
    <w:rsid w:val="12B67FD5"/>
    <w:rsid w:val="12C624DB"/>
    <w:rsid w:val="12D06EB6"/>
    <w:rsid w:val="12F2043F"/>
    <w:rsid w:val="13517FF7"/>
    <w:rsid w:val="13541895"/>
    <w:rsid w:val="135875D7"/>
    <w:rsid w:val="137F7E01"/>
    <w:rsid w:val="13963C5C"/>
    <w:rsid w:val="139F5206"/>
    <w:rsid w:val="13AA5959"/>
    <w:rsid w:val="13B62550"/>
    <w:rsid w:val="13EE5846"/>
    <w:rsid w:val="13FE6D2B"/>
    <w:rsid w:val="14171240"/>
    <w:rsid w:val="143D057B"/>
    <w:rsid w:val="14B81790"/>
    <w:rsid w:val="150572EB"/>
    <w:rsid w:val="15211C3F"/>
    <w:rsid w:val="152F0E76"/>
    <w:rsid w:val="155E4C4D"/>
    <w:rsid w:val="15864176"/>
    <w:rsid w:val="15B036FB"/>
    <w:rsid w:val="160D6F9F"/>
    <w:rsid w:val="1666200B"/>
    <w:rsid w:val="167C538B"/>
    <w:rsid w:val="16860785"/>
    <w:rsid w:val="171760D6"/>
    <w:rsid w:val="17190E2C"/>
    <w:rsid w:val="173043C7"/>
    <w:rsid w:val="17A23BF7"/>
    <w:rsid w:val="17B9616B"/>
    <w:rsid w:val="18144C1B"/>
    <w:rsid w:val="18585984"/>
    <w:rsid w:val="187A3168"/>
    <w:rsid w:val="188678BF"/>
    <w:rsid w:val="18890233"/>
    <w:rsid w:val="18B52DD6"/>
    <w:rsid w:val="18F07F1B"/>
    <w:rsid w:val="19445F08"/>
    <w:rsid w:val="19D76D7C"/>
    <w:rsid w:val="19DE010A"/>
    <w:rsid w:val="1A361CF4"/>
    <w:rsid w:val="1A511A06"/>
    <w:rsid w:val="1A7B1DFD"/>
    <w:rsid w:val="1AE20D16"/>
    <w:rsid w:val="1B001C20"/>
    <w:rsid w:val="1B326960"/>
    <w:rsid w:val="1B46065D"/>
    <w:rsid w:val="1B4641B9"/>
    <w:rsid w:val="1B9817C6"/>
    <w:rsid w:val="1BEA548C"/>
    <w:rsid w:val="1BFC2ACA"/>
    <w:rsid w:val="1C0E2F29"/>
    <w:rsid w:val="1C2433CD"/>
    <w:rsid w:val="1C257998"/>
    <w:rsid w:val="1CAB69CA"/>
    <w:rsid w:val="1CC17F9B"/>
    <w:rsid w:val="1CC94BF3"/>
    <w:rsid w:val="1CCB0E1A"/>
    <w:rsid w:val="1D300C7D"/>
    <w:rsid w:val="1D554E04"/>
    <w:rsid w:val="1D9B6A3E"/>
    <w:rsid w:val="1DA33B2C"/>
    <w:rsid w:val="1EA56FF0"/>
    <w:rsid w:val="1F243468"/>
    <w:rsid w:val="1F357DC9"/>
    <w:rsid w:val="1F51312D"/>
    <w:rsid w:val="202076CF"/>
    <w:rsid w:val="20350237"/>
    <w:rsid w:val="207E61A3"/>
    <w:rsid w:val="20BE2A44"/>
    <w:rsid w:val="20C938C2"/>
    <w:rsid w:val="211B39F2"/>
    <w:rsid w:val="212A1E87"/>
    <w:rsid w:val="212C5BFF"/>
    <w:rsid w:val="2140571C"/>
    <w:rsid w:val="217C26E3"/>
    <w:rsid w:val="21810588"/>
    <w:rsid w:val="21983295"/>
    <w:rsid w:val="219A4E5A"/>
    <w:rsid w:val="21BC6F83"/>
    <w:rsid w:val="22314E88"/>
    <w:rsid w:val="22E96E81"/>
    <w:rsid w:val="231D7EF5"/>
    <w:rsid w:val="2392443F"/>
    <w:rsid w:val="250D2C18"/>
    <w:rsid w:val="251F61A7"/>
    <w:rsid w:val="254F3BA3"/>
    <w:rsid w:val="25605025"/>
    <w:rsid w:val="256E5782"/>
    <w:rsid w:val="25780DFE"/>
    <w:rsid w:val="2580651A"/>
    <w:rsid w:val="258C3110"/>
    <w:rsid w:val="258C39AA"/>
    <w:rsid w:val="25A6043A"/>
    <w:rsid w:val="25E82A3D"/>
    <w:rsid w:val="25EB7E37"/>
    <w:rsid w:val="25EE7927"/>
    <w:rsid w:val="264B2FF1"/>
    <w:rsid w:val="26722306"/>
    <w:rsid w:val="26871982"/>
    <w:rsid w:val="26CB1A16"/>
    <w:rsid w:val="27394E6C"/>
    <w:rsid w:val="276500BD"/>
    <w:rsid w:val="27983FEE"/>
    <w:rsid w:val="27B84691"/>
    <w:rsid w:val="283E2D94"/>
    <w:rsid w:val="284877C3"/>
    <w:rsid w:val="286F79FA"/>
    <w:rsid w:val="28893F51"/>
    <w:rsid w:val="289A78F2"/>
    <w:rsid w:val="28B704A4"/>
    <w:rsid w:val="28BC1142"/>
    <w:rsid w:val="28DE3C83"/>
    <w:rsid w:val="294177DB"/>
    <w:rsid w:val="29685E15"/>
    <w:rsid w:val="298157AF"/>
    <w:rsid w:val="2A316FEB"/>
    <w:rsid w:val="2ABC1DA2"/>
    <w:rsid w:val="2AE80DE9"/>
    <w:rsid w:val="2B2838DB"/>
    <w:rsid w:val="2B2C0E3C"/>
    <w:rsid w:val="2B3B53BD"/>
    <w:rsid w:val="2C8815B2"/>
    <w:rsid w:val="2CAB6572"/>
    <w:rsid w:val="2CBA67B5"/>
    <w:rsid w:val="2CCA2AA6"/>
    <w:rsid w:val="2CCA2E9C"/>
    <w:rsid w:val="2D371BB4"/>
    <w:rsid w:val="2D5C5ABE"/>
    <w:rsid w:val="2D915768"/>
    <w:rsid w:val="2DA973A0"/>
    <w:rsid w:val="2E0E0B66"/>
    <w:rsid w:val="2E7F3812"/>
    <w:rsid w:val="2E9F3EB4"/>
    <w:rsid w:val="2EDF1B2A"/>
    <w:rsid w:val="2EEB0EA8"/>
    <w:rsid w:val="2F27773D"/>
    <w:rsid w:val="2F6A001E"/>
    <w:rsid w:val="2F6A44C2"/>
    <w:rsid w:val="2F6F1AD9"/>
    <w:rsid w:val="2FB646DE"/>
    <w:rsid w:val="2FC87AEF"/>
    <w:rsid w:val="304F6FFA"/>
    <w:rsid w:val="309061AB"/>
    <w:rsid w:val="30A57A79"/>
    <w:rsid w:val="30F55EC0"/>
    <w:rsid w:val="310123E5"/>
    <w:rsid w:val="31CE445F"/>
    <w:rsid w:val="31E22A36"/>
    <w:rsid w:val="321E0D93"/>
    <w:rsid w:val="322F5577"/>
    <w:rsid w:val="323E5792"/>
    <w:rsid w:val="32957AA8"/>
    <w:rsid w:val="32AC63E2"/>
    <w:rsid w:val="32C959A4"/>
    <w:rsid w:val="32D54349"/>
    <w:rsid w:val="32DB0DB0"/>
    <w:rsid w:val="32DC7DC3"/>
    <w:rsid w:val="33201AF9"/>
    <w:rsid w:val="333C43C8"/>
    <w:rsid w:val="3353526D"/>
    <w:rsid w:val="33550FE6"/>
    <w:rsid w:val="33B9091B"/>
    <w:rsid w:val="340F388A"/>
    <w:rsid w:val="343B01DB"/>
    <w:rsid w:val="34C46423"/>
    <w:rsid w:val="34F734AD"/>
    <w:rsid w:val="350232F7"/>
    <w:rsid w:val="3555351F"/>
    <w:rsid w:val="356E3274"/>
    <w:rsid w:val="35BE7316"/>
    <w:rsid w:val="363C023B"/>
    <w:rsid w:val="365D1A1E"/>
    <w:rsid w:val="36A91D74"/>
    <w:rsid w:val="37373CC3"/>
    <w:rsid w:val="373B4631"/>
    <w:rsid w:val="375A12C0"/>
    <w:rsid w:val="37DD3B92"/>
    <w:rsid w:val="380B4369"/>
    <w:rsid w:val="388A34DF"/>
    <w:rsid w:val="38AA1DD4"/>
    <w:rsid w:val="38D21DBD"/>
    <w:rsid w:val="397A51B3"/>
    <w:rsid w:val="39947420"/>
    <w:rsid w:val="39CB3DB0"/>
    <w:rsid w:val="3A2E033C"/>
    <w:rsid w:val="3A347BA7"/>
    <w:rsid w:val="3A8F302F"/>
    <w:rsid w:val="3A9B19D4"/>
    <w:rsid w:val="3AA27206"/>
    <w:rsid w:val="3ADD7F2B"/>
    <w:rsid w:val="3B3F2CA7"/>
    <w:rsid w:val="3B40257B"/>
    <w:rsid w:val="3B8B7942"/>
    <w:rsid w:val="3BA36EED"/>
    <w:rsid w:val="3C237ED3"/>
    <w:rsid w:val="3C3F0A85"/>
    <w:rsid w:val="3C526A0A"/>
    <w:rsid w:val="3CBB635D"/>
    <w:rsid w:val="3CC80A7A"/>
    <w:rsid w:val="3CDE3DFA"/>
    <w:rsid w:val="3D127F47"/>
    <w:rsid w:val="3D181ADB"/>
    <w:rsid w:val="3D3A1978"/>
    <w:rsid w:val="3D474095"/>
    <w:rsid w:val="3D742CFB"/>
    <w:rsid w:val="3D8C7CFA"/>
    <w:rsid w:val="3E154ACA"/>
    <w:rsid w:val="3E3D2DA2"/>
    <w:rsid w:val="3E4B133C"/>
    <w:rsid w:val="3E894239"/>
    <w:rsid w:val="3EA01CAF"/>
    <w:rsid w:val="3EE6168C"/>
    <w:rsid w:val="3EF17BED"/>
    <w:rsid w:val="3F4F5483"/>
    <w:rsid w:val="3FFB2F15"/>
    <w:rsid w:val="404B79F8"/>
    <w:rsid w:val="410D1152"/>
    <w:rsid w:val="4110674E"/>
    <w:rsid w:val="414803DC"/>
    <w:rsid w:val="415E7BFF"/>
    <w:rsid w:val="4183706D"/>
    <w:rsid w:val="421D53C4"/>
    <w:rsid w:val="424961B9"/>
    <w:rsid w:val="42997141"/>
    <w:rsid w:val="42DB7A3E"/>
    <w:rsid w:val="42E14644"/>
    <w:rsid w:val="42E934F8"/>
    <w:rsid w:val="42F00D2B"/>
    <w:rsid w:val="439671DC"/>
    <w:rsid w:val="43D842BC"/>
    <w:rsid w:val="446B0669"/>
    <w:rsid w:val="4493196E"/>
    <w:rsid w:val="44BF6C07"/>
    <w:rsid w:val="44F935D9"/>
    <w:rsid w:val="45383C57"/>
    <w:rsid w:val="45473643"/>
    <w:rsid w:val="4565330A"/>
    <w:rsid w:val="4582210E"/>
    <w:rsid w:val="45AF27D7"/>
    <w:rsid w:val="464B69A4"/>
    <w:rsid w:val="46511AE0"/>
    <w:rsid w:val="465313B5"/>
    <w:rsid w:val="466E61EE"/>
    <w:rsid w:val="4676512E"/>
    <w:rsid w:val="46B8390E"/>
    <w:rsid w:val="46BC5845"/>
    <w:rsid w:val="46DA5F67"/>
    <w:rsid w:val="47013507"/>
    <w:rsid w:val="474B4782"/>
    <w:rsid w:val="477F442B"/>
    <w:rsid w:val="478366AF"/>
    <w:rsid w:val="47CA56A6"/>
    <w:rsid w:val="47E26076"/>
    <w:rsid w:val="48D82045"/>
    <w:rsid w:val="48F03833"/>
    <w:rsid w:val="4929464F"/>
    <w:rsid w:val="49417BEA"/>
    <w:rsid w:val="49E52C19"/>
    <w:rsid w:val="4A203CA4"/>
    <w:rsid w:val="4A69389D"/>
    <w:rsid w:val="4A6D4A0F"/>
    <w:rsid w:val="4B38501D"/>
    <w:rsid w:val="4B645E12"/>
    <w:rsid w:val="4B775B45"/>
    <w:rsid w:val="4B9761E7"/>
    <w:rsid w:val="4BA6467C"/>
    <w:rsid w:val="4BBF24BB"/>
    <w:rsid w:val="4C066EC9"/>
    <w:rsid w:val="4C5639AD"/>
    <w:rsid w:val="4C675BBA"/>
    <w:rsid w:val="4C995A6F"/>
    <w:rsid w:val="4CCA439B"/>
    <w:rsid w:val="4D6E4D26"/>
    <w:rsid w:val="4E4837C9"/>
    <w:rsid w:val="4E88341A"/>
    <w:rsid w:val="4E916F1E"/>
    <w:rsid w:val="4F3B332E"/>
    <w:rsid w:val="4F495A4B"/>
    <w:rsid w:val="4F5166AD"/>
    <w:rsid w:val="4F560168"/>
    <w:rsid w:val="4FB167E0"/>
    <w:rsid w:val="4FCC4266"/>
    <w:rsid w:val="50137E07"/>
    <w:rsid w:val="50461F8A"/>
    <w:rsid w:val="50F11EF6"/>
    <w:rsid w:val="511575F5"/>
    <w:rsid w:val="512D6CA6"/>
    <w:rsid w:val="512E0C48"/>
    <w:rsid w:val="51767EAD"/>
    <w:rsid w:val="51EC090F"/>
    <w:rsid w:val="520E4F80"/>
    <w:rsid w:val="53185E60"/>
    <w:rsid w:val="53476745"/>
    <w:rsid w:val="538C05FC"/>
    <w:rsid w:val="53D578AD"/>
    <w:rsid w:val="53D61877"/>
    <w:rsid w:val="54574766"/>
    <w:rsid w:val="54B112E5"/>
    <w:rsid w:val="54B55930"/>
    <w:rsid w:val="54C55B73"/>
    <w:rsid w:val="54F2448F"/>
    <w:rsid w:val="5503669C"/>
    <w:rsid w:val="551B39E5"/>
    <w:rsid w:val="551C150B"/>
    <w:rsid w:val="5531145B"/>
    <w:rsid w:val="554173E9"/>
    <w:rsid w:val="55835093"/>
    <w:rsid w:val="559A7000"/>
    <w:rsid w:val="55F80515"/>
    <w:rsid w:val="56262642"/>
    <w:rsid w:val="57454D4A"/>
    <w:rsid w:val="575256B8"/>
    <w:rsid w:val="57BE4AFC"/>
    <w:rsid w:val="57ED44D4"/>
    <w:rsid w:val="57FD3E2B"/>
    <w:rsid w:val="58564D34"/>
    <w:rsid w:val="585C63BB"/>
    <w:rsid w:val="58656A4C"/>
    <w:rsid w:val="58E95BA9"/>
    <w:rsid w:val="58FD4F2A"/>
    <w:rsid w:val="592C7F8D"/>
    <w:rsid w:val="595565B4"/>
    <w:rsid w:val="59605E6B"/>
    <w:rsid w:val="59A620FB"/>
    <w:rsid w:val="59B9557B"/>
    <w:rsid w:val="59CC3500"/>
    <w:rsid w:val="59CF2FF0"/>
    <w:rsid w:val="59E20A8D"/>
    <w:rsid w:val="5A6951F3"/>
    <w:rsid w:val="5A9D1CA6"/>
    <w:rsid w:val="5AB26B9A"/>
    <w:rsid w:val="5ABB6926"/>
    <w:rsid w:val="5B0A0784"/>
    <w:rsid w:val="5C7A4F52"/>
    <w:rsid w:val="5C91458D"/>
    <w:rsid w:val="5CBA3AE4"/>
    <w:rsid w:val="5D131446"/>
    <w:rsid w:val="5D885990"/>
    <w:rsid w:val="5E3D49CC"/>
    <w:rsid w:val="5E3F6182"/>
    <w:rsid w:val="5E714722"/>
    <w:rsid w:val="5E7F4FE5"/>
    <w:rsid w:val="5E802B0B"/>
    <w:rsid w:val="5EBE53E1"/>
    <w:rsid w:val="5EF33B8E"/>
    <w:rsid w:val="5F7F2518"/>
    <w:rsid w:val="5FEA0B84"/>
    <w:rsid w:val="603E3CFC"/>
    <w:rsid w:val="604F09E7"/>
    <w:rsid w:val="60A07495"/>
    <w:rsid w:val="60DC7D1E"/>
    <w:rsid w:val="60FD6FB8"/>
    <w:rsid w:val="61120392"/>
    <w:rsid w:val="611C318D"/>
    <w:rsid w:val="613227E3"/>
    <w:rsid w:val="61363955"/>
    <w:rsid w:val="61F45CEA"/>
    <w:rsid w:val="62173786"/>
    <w:rsid w:val="62232CF0"/>
    <w:rsid w:val="626253CB"/>
    <w:rsid w:val="63CC2272"/>
    <w:rsid w:val="63D01E3F"/>
    <w:rsid w:val="64124205"/>
    <w:rsid w:val="64BC23C3"/>
    <w:rsid w:val="650B3064"/>
    <w:rsid w:val="65B1324D"/>
    <w:rsid w:val="65BD64C9"/>
    <w:rsid w:val="65C14135"/>
    <w:rsid w:val="661A1A97"/>
    <w:rsid w:val="663012BB"/>
    <w:rsid w:val="66903B07"/>
    <w:rsid w:val="66A63C02"/>
    <w:rsid w:val="66F10A4A"/>
    <w:rsid w:val="67FF0E96"/>
    <w:rsid w:val="683E7CBF"/>
    <w:rsid w:val="687731D1"/>
    <w:rsid w:val="688A2F04"/>
    <w:rsid w:val="68AF4719"/>
    <w:rsid w:val="68FC2803"/>
    <w:rsid w:val="694C1F68"/>
    <w:rsid w:val="697C3002"/>
    <w:rsid w:val="69A578CA"/>
    <w:rsid w:val="69B144C0"/>
    <w:rsid w:val="69C4305C"/>
    <w:rsid w:val="69CE51D8"/>
    <w:rsid w:val="69D361E5"/>
    <w:rsid w:val="69E403F2"/>
    <w:rsid w:val="69F0323B"/>
    <w:rsid w:val="6A486BD3"/>
    <w:rsid w:val="6A4964A7"/>
    <w:rsid w:val="6AEC0029"/>
    <w:rsid w:val="6B15282D"/>
    <w:rsid w:val="6B755515"/>
    <w:rsid w:val="6B775483"/>
    <w:rsid w:val="6BF608B1"/>
    <w:rsid w:val="6BF6440D"/>
    <w:rsid w:val="6C457555"/>
    <w:rsid w:val="6C7E5DDB"/>
    <w:rsid w:val="6C831712"/>
    <w:rsid w:val="6CA43E69"/>
    <w:rsid w:val="6D090170"/>
    <w:rsid w:val="6D325918"/>
    <w:rsid w:val="6D396CA7"/>
    <w:rsid w:val="6DD62F04"/>
    <w:rsid w:val="6E405E13"/>
    <w:rsid w:val="6E407BC1"/>
    <w:rsid w:val="6EF47CAE"/>
    <w:rsid w:val="70114292"/>
    <w:rsid w:val="7104581E"/>
    <w:rsid w:val="713C0B14"/>
    <w:rsid w:val="715F4802"/>
    <w:rsid w:val="717C53B4"/>
    <w:rsid w:val="7238577F"/>
    <w:rsid w:val="725B79F5"/>
    <w:rsid w:val="728A2D97"/>
    <w:rsid w:val="73075151"/>
    <w:rsid w:val="7319454A"/>
    <w:rsid w:val="73A56E44"/>
    <w:rsid w:val="73D1598E"/>
    <w:rsid w:val="73D9089C"/>
    <w:rsid w:val="744434A6"/>
    <w:rsid w:val="74795BDB"/>
    <w:rsid w:val="747D1B6F"/>
    <w:rsid w:val="75071439"/>
    <w:rsid w:val="755328D0"/>
    <w:rsid w:val="75967493"/>
    <w:rsid w:val="761C7166"/>
    <w:rsid w:val="762A44F2"/>
    <w:rsid w:val="76516E0F"/>
    <w:rsid w:val="768C04FA"/>
    <w:rsid w:val="76B33626"/>
    <w:rsid w:val="776B5CAF"/>
    <w:rsid w:val="780B56E4"/>
    <w:rsid w:val="78421012"/>
    <w:rsid w:val="78673845"/>
    <w:rsid w:val="789D27E0"/>
    <w:rsid w:val="78AA67A1"/>
    <w:rsid w:val="790E0FE8"/>
    <w:rsid w:val="79B3440F"/>
    <w:rsid w:val="7A100D8F"/>
    <w:rsid w:val="7A1D0CC2"/>
    <w:rsid w:val="7AB2152D"/>
    <w:rsid w:val="7AD24297"/>
    <w:rsid w:val="7B252618"/>
    <w:rsid w:val="7BD10E1E"/>
    <w:rsid w:val="7BF73FB5"/>
    <w:rsid w:val="7C0466D2"/>
    <w:rsid w:val="7C06244A"/>
    <w:rsid w:val="7C442F72"/>
    <w:rsid w:val="7C497E31"/>
    <w:rsid w:val="7C521865"/>
    <w:rsid w:val="7C952F31"/>
    <w:rsid w:val="7CA13F21"/>
    <w:rsid w:val="7CA43168"/>
    <w:rsid w:val="7D6B2EAC"/>
    <w:rsid w:val="7D6E45F0"/>
    <w:rsid w:val="7DB61C4E"/>
    <w:rsid w:val="7DB83C18"/>
    <w:rsid w:val="7DF3469A"/>
    <w:rsid w:val="7DFF4D6D"/>
    <w:rsid w:val="7E580D2D"/>
    <w:rsid w:val="7E6C1CCD"/>
    <w:rsid w:val="7F0013D2"/>
    <w:rsid w:val="7F016EF9"/>
    <w:rsid w:val="7F5518BF"/>
    <w:rsid w:val="7F620FC1"/>
    <w:rsid w:val="7F9B559F"/>
    <w:rsid w:val="7FDD34C2"/>
    <w:rsid w:val="7FE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table" w:styleId="6">
    <w:name w:val="Table Grid"/>
    <w:basedOn w:val="5"/>
    <w:qFormat/>
    <w:uiPriority w:val="59"/>
    <w:pPr>
      <w:spacing w:afterLines="50"/>
      <w:jc w:val="both"/>
    </w:pPr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99"/>
    <w:pPr>
      <w:ind w:firstLine="420"/>
    </w:pPr>
    <w:rPr>
      <w:rFonts w:ascii="Calibri" w:hAnsi="Calibri" w:cs="Times New Roman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黑体" w:hAnsi="黑体" w:eastAsia="黑体" w:cstheme="minorBidi"/>
      <w:color w:val="000000"/>
      <w:sz w:val="24"/>
      <w:szCs w:val="24"/>
      <w:lang w:val="en-US" w:eastAsia="zh-CN" w:bidi="ar-SA"/>
    </w:rPr>
  </w:style>
  <w:style w:type="paragraph" w:customStyle="1" w:styleId="11">
    <w:name w:val="摘要正文"/>
    <w:basedOn w:val="1"/>
    <w:qFormat/>
    <w:uiPriority w:val="0"/>
    <w:pPr>
      <w:wordWrap w:val="0"/>
      <w:spacing w:line="400" w:lineRule="exact"/>
      <w:ind w:firstLine="200" w:firstLineChars="200"/>
    </w:pPr>
    <w:rPr>
      <w:color w:val="000000"/>
      <w:sz w:val="24"/>
    </w:rPr>
  </w:style>
  <w:style w:type="character" w:customStyle="1" w:styleId="12">
    <w:name w:val="fontstyle01"/>
    <w:basedOn w:val="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13">
    <w:name w:val="表格"/>
    <w:basedOn w:val="1"/>
    <w:qFormat/>
    <w:uiPriority w:val="99"/>
    <w:pPr>
      <w:jc w:val="center"/>
    </w:pPr>
    <w:rPr>
      <w:kern w:val="0"/>
      <w:szCs w:val="18"/>
    </w:rPr>
  </w:style>
  <w:style w:type="paragraph" w:customStyle="1" w:styleId="14">
    <w:name w:val="汇总表居中"/>
    <w:basedOn w:val="1"/>
    <w:qFormat/>
    <w:uiPriority w:val="0"/>
    <w:pPr>
      <w:spacing w:line="200" w:lineRule="exact"/>
      <w:jc w:val="center"/>
    </w:pPr>
    <w:rPr>
      <w:color w:val="000000"/>
      <w:sz w:val="18"/>
      <w:szCs w:val="18"/>
    </w:rPr>
  </w:style>
  <w:style w:type="paragraph" w:customStyle="1" w:styleId="15">
    <w:name w:val="汇总表两端对齐"/>
    <w:basedOn w:val="1"/>
    <w:qFormat/>
    <w:uiPriority w:val="0"/>
    <w:pPr>
      <w:spacing w:line="200" w:lineRule="exact"/>
    </w:pPr>
    <w:rPr>
      <w:color w:val="000000"/>
      <w:sz w:val="18"/>
      <w:szCs w:val="18"/>
    </w:rPr>
  </w:style>
  <w:style w:type="character" w:customStyle="1" w:styleId="16">
    <w:name w:val="批注框文本 Char"/>
    <w:basedOn w:val="7"/>
    <w:link w:val="4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957030-3587-4989-B51A-850D02E20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1178</Words>
  <Characters>2491</Characters>
  <Lines>21</Lines>
  <Paragraphs>5</Paragraphs>
  <TotalTime>1</TotalTime>
  <ScaleCrop>false</ScaleCrop>
  <LinksUpToDate>false</LinksUpToDate>
  <CharactersWithSpaces>2706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2021-07-11T09:19:00Z</dcterms:created>
  <dc:creator>许水清</dc:creator>
  <cp:lastModifiedBy>勇者无敌</cp:lastModifiedBy>
  <dcterms:modified xsi:type="dcterms:W3CDTF">2023-03-27T23:19:39Z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068892622FAC4D83AD77847B173E687A</vt:lpwstr>
  </property>
</Properties>
</file>